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第一小</w:t>
      </w:r>
      <w:r>
        <w:rPr>
          <w:rFonts w:hint="eastAsia" w:eastAsia="方正小标宋_GBK"/>
          <w:sz w:val="48"/>
          <w:szCs w:val="48"/>
        </w:rPr>
        <w:t>学</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hint="eastAsia" w:eastAsia="黑体"/>
          <w:sz w:val="36"/>
          <w:szCs w:val="36"/>
          <w:lang w:val="en-US" w:eastAsia="zh-CN"/>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第一小学</w:t>
      </w: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ind w:left="2879" w:leftChars="228" w:hanging="2400" w:hangingChars="500"/>
        <w:jc w:val="both"/>
        <w:rPr>
          <w:rFonts w:eastAsia="方正小标宋_GBK"/>
          <w:sz w:val="48"/>
          <w:szCs w:val="48"/>
        </w:rPr>
      </w:pPr>
      <w:r>
        <w:rPr>
          <w:rFonts w:hint="eastAsia" w:ascii="方正小标宋_GBK" w:hAnsi="方正小标宋_GBK" w:eastAsia="方正小标宋_GBK" w:cs="方正小标宋_GBK"/>
          <w:sz w:val="48"/>
          <w:szCs w:val="48"/>
          <w:lang w:val="en-US" w:eastAsia="zh-CN"/>
        </w:rPr>
        <w:t>2023</w:t>
      </w:r>
      <w:r>
        <w:rPr>
          <w:rFonts w:hint="eastAsia" w:ascii="方正小标宋_GBK" w:hAnsi="方正小标宋_GBK" w:eastAsia="方正小标宋_GBK" w:cs="方正小标宋_GBK"/>
          <w:sz w:val="48"/>
          <w:szCs w:val="48"/>
        </w:rPr>
        <w:t>年度</w:t>
      </w:r>
      <w:r>
        <w:rPr>
          <w:rFonts w:hint="eastAsia" w:ascii="方正小标宋_GBK" w:hAnsi="方正小标宋_GBK" w:eastAsia="方正小标宋_GBK" w:cs="方正小标宋_GBK"/>
          <w:sz w:val="48"/>
          <w:szCs w:val="48"/>
          <w:lang w:eastAsia="zh-CN"/>
        </w:rPr>
        <w:t>江永县第一小学部门</w:t>
      </w:r>
      <w:r>
        <w:rPr>
          <w:rFonts w:hint="eastAsia" w:ascii="方正小标宋_GBK" w:hAnsi="方正小标宋_GBK" w:eastAsia="方正小标宋_GBK" w:cs="方正小标宋_GBK"/>
          <w:sz w:val="48"/>
          <w:szCs w:val="48"/>
        </w:rPr>
        <w:t>整体支</w:t>
      </w:r>
      <w:r>
        <w:rPr>
          <w:rFonts w:eastAsia="方正小标宋_GBK"/>
          <w:sz w:val="48"/>
          <w:szCs w:val="48"/>
        </w:rPr>
        <w:t>出绩效自评报告</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为贯彻落实党“全面实施绩效管理”的要求，进一步规范</w:t>
      </w:r>
      <w:r>
        <w:rPr>
          <w:rFonts w:hint="eastAsia" w:ascii="仿宋_GB2312" w:hAnsi="仿宋_GB2312" w:eastAsia="仿宋_GB2312" w:cs="仿宋_GB2312"/>
          <w:sz w:val="32"/>
          <w:szCs w:val="32"/>
          <w:lang w:eastAsia="zh-CN"/>
        </w:rPr>
        <w:t>和加强预算</w:t>
      </w:r>
      <w:r>
        <w:rPr>
          <w:rFonts w:hint="eastAsia" w:ascii="仿宋_GB2312" w:hAnsi="仿宋_GB2312" w:eastAsia="仿宋_GB2312" w:cs="仿宋_GB2312"/>
          <w:sz w:val="32"/>
          <w:szCs w:val="32"/>
        </w:rPr>
        <w:t>资金管理，提高财政资金使用效益，根据《中共中央  国务院关于全面实施预算绩效管理的意见》（中发〔2018〕34号）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《中共湖南省委办公厅 湖南省人民政府办公厅关于全面实施预算绩效管理的实施意见》（湘办发〔2019〕10号）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《湖南省预算</w:t>
      </w:r>
      <w:r>
        <w:rPr>
          <w:rFonts w:hint="eastAsia" w:ascii="仿宋_GB2312" w:hAnsi="仿宋_GB2312" w:eastAsia="仿宋_GB2312" w:cs="仿宋_GB2312"/>
          <w:sz w:val="32"/>
          <w:szCs w:val="32"/>
          <w:lang w:eastAsia="zh-CN"/>
        </w:rPr>
        <w:t>支出绩效评价管理办法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w:t>
      </w:r>
      <w:r>
        <w:rPr>
          <w:rFonts w:hint="eastAsia" w:ascii="仿宋_GB2312" w:hAnsi="仿宋_GB2312" w:eastAsia="仿宋_GB2312" w:cs="仿宋_GB2312"/>
          <w:sz w:val="32"/>
          <w:szCs w:val="32"/>
          <w:lang w:eastAsia="zh-CN"/>
        </w:rPr>
        <w:t>省级预算部门绩效自评操作规程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江永县</w:t>
      </w:r>
      <w:r>
        <w:rPr>
          <w:rFonts w:hint="eastAsia" w:ascii="仿宋_GB2312" w:hAnsi="仿宋_GB2312" w:eastAsia="仿宋_GB2312" w:cs="仿宋_GB2312"/>
          <w:sz w:val="32"/>
          <w:szCs w:val="32"/>
        </w:rPr>
        <w:t>预算绩效管理暂行办法》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县级预算支出绩效评价管理办法江永财发〔2021〕93号）的要求，</w:t>
      </w:r>
      <w:r>
        <w:rPr>
          <w:rFonts w:hint="eastAsia" w:ascii="仿宋_GB2312" w:hAnsi="仿宋_GB2312" w:eastAsia="仿宋_GB2312" w:cs="仿宋_GB2312"/>
          <w:sz w:val="32"/>
          <w:szCs w:val="32"/>
          <w:lang w:eastAsia="zh-CN"/>
        </w:rPr>
        <w:t>对本校的</w:t>
      </w:r>
      <w:r>
        <w:rPr>
          <w:rFonts w:hint="eastAsia" w:ascii="仿宋_GB2312" w:hAnsi="仿宋_GB2312" w:eastAsia="仿宋_GB2312" w:cs="仿宋_GB2312"/>
          <w:sz w:val="32"/>
          <w:szCs w:val="32"/>
          <w:lang w:val="en-US" w:eastAsia="zh-CN"/>
        </w:rPr>
        <w:t>2023年度整体部门支出</w:t>
      </w:r>
      <w:r>
        <w:rPr>
          <w:rFonts w:hint="eastAsia" w:ascii="仿宋_GB2312" w:hAnsi="仿宋_GB2312" w:eastAsia="仿宋_GB2312" w:cs="仿宋_GB2312"/>
          <w:sz w:val="32"/>
          <w:szCs w:val="32"/>
        </w:rPr>
        <w:t>资金进行了认真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仔细的</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自评。现将有关情况</w:t>
      </w:r>
      <w:r>
        <w:rPr>
          <w:rFonts w:hint="eastAsia" w:ascii="仿宋_GB2312" w:hAnsi="仿宋_GB2312" w:eastAsia="仿宋_GB2312" w:cs="仿宋_GB2312"/>
          <w:sz w:val="32"/>
          <w:szCs w:val="32"/>
          <w:lang w:eastAsia="zh-CN"/>
        </w:rPr>
        <w:t>汇报</w:t>
      </w:r>
      <w:r>
        <w:rPr>
          <w:rFonts w:hint="eastAsia" w:ascii="仿宋_GB2312" w:hAnsi="仿宋_GB2312" w:eastAsia="仿宋_GB2312" w:cs="仿宋_GB2312"/>
          <w:sz w:val="32"/>
          <w:szCs w:val="32"/>
        </w:rPr>
        <w:t>如下：</w:t>
      </w:r>
    </w:p>
    <w:p>
      <w:pPr>
        <w:spacing w:line="600" w:lineRule="exact"/>
        <w:rPr>
          <w:rFonts w:eastAsia="黑体"/>
          <w:b/>
          <w:bCs/>
          <w:sz w:val="32"/>
          <w:szCs w:val="32"/>
        </w:rPr>
      </w:pPr>
      <w:r>
        <w:rPr>
          <w:rFonts w:eastAsia="黑体"/>
          <w:b/>
          <w:bCs/>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1、江永县第一小学</w:t>
      </w:r>
      <w:r>
        <w:rPr>
          <w:rFonts w:hint="eastAsia" w:ascii="仿宋_GB2312" w:hAnsi="仿宋_GB2312" w:eastAsia="仿宋_GB2312" w:cs="仿宋_GB2312"/>
          <w:sz w:val="32"/>
          <w:szCs w:val="32"/>
        </w:rPr>
        <w:t>现有在编职工</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141人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7"/>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7"/>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7"/>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江永县</w:t>
      </w:r>
      <w:r>
        <w:rPr>
          <w:rFonts w:hint="eastAsia" w:ascii="仿宋_GB2312" w:hAnsi="仿宋_GB2312" w:eastAsia="仿宋_GB2312" w:cs="仿宋_GB2312"/>
          <w:b w:val="0"/>
          <w:bCs w:val="0"/>
          <w:kern w:val="0"/>
          <w:sz w:val="32"/>
          <w:szCs w:val="32"/>
          <w:lang w:eastAsia="zh-CN"/>
        </w:rPr>
        <w:t>第一小学</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1744.6243</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学校的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7"/>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w:t>
      </w:r>
      <w:r>
        <w:rPr>
          <w:rFonts w:hint="eastAsia" w:ascii="仿宋_GB2312" w:hAnsi="仿宋_GB2312" w:eastAsia="仿宋_GB2312" w:cs="仿宋_GB2312"/>
          <w:b w:val="0"/>
          <w:bCs w:val="0"/>
          <w:sz w:val="32"/>
          <w:szCs w:val="32"/>
          <w:lang w:eastAsia="zh-CN"/>
        </w:rPr>
        <w:t>政府性基金预算支出。</w:t>
      </w:r>
    </w:p>
    <w:p>
      <w:pPr>
        <w:pStyle w:val="7"/>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7"/>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年度无国有资本经营预算支出。</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7"/>
        <w:widowControl w:val="0"/>
        <w:numPr>
          <w:ilvl w:val="0"/>
          <w:numId w:val="0"/>
        </w:numPr>
        <w:wordWrap/>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7"/>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99分。</w:t>
      </w:r>
    </w:p>
    <w:p>
      <w:pPr>
        <w:pStyle w:val="7"/>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教育资金拨付流程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eastAsia="zh-CN"/>
        </w:rPr>
        <w:t>教育局国库专项资金不能直接下达到各学校，只能由财政直接下达各学校国库，在由单位录单后支付，</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w:t>
      </w:r>
      <w:bookmarkStart w:id="0" w:name="_GoBack"/>
      <w:bookmarkEnd w:id="0"/>
      <w:r>
        <w:rPr>
          <w:rFonts w:hint="eastAsia" w:ascii="仿宋_GB2312" w:hAnsi="仿宋_GB2312" w:eastAsia="仿宋_GB2312" w:cs="仿宋_GB2312"/>
          <w:sz w:val="32"/>
          <w:szCs w:val="32"/>
          <w:lang w:eastAsia="zh-CN"/>
        </w:rPr>
        <w:t>各司其职。通过绩效评价，要加强资金的管理。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江永县第一小学</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支出绩效较好，有力推动了教育事业持续健康发展。根据预算绩效评价的有关规定，学校将在江永政府网公示绩效自评报告。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sz w:val="28"/>
          <w:szCs w:val="28"/>
          <w:lang w:val="en-US" w:eastAsia="zh-CN"/>
        </w:rPr>
      </w:pPr>
      <w:r>
        <w:rPr>
          <w:rFonts w:hint="eastAsia" w:ascii="仿宋" w:hAnsi="仿宋" w:eastAsia="仿宋" w:cs="仿宋"/>
          <w:sz w:val="32"/>
          <w:szCs w:val="32"/>
          <w:lang w:val="en-US" w:eastAsia="zh-CN"/>
        </w:rPr>
        <w:t xml:space="preserve"> 无。</w:t>
      </w:r>
    </w:p>
    <w:p>
      <w:pPr>
        <w:widowControl w:val="0"/>
        <w:wordWrap/>
        <w:adjustRightInd/>
        <w:snapToGrid/>
        <w:spacing w:line="240" w:lineRule="atLeas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江永县第一小学</w:t>
      </w:r>
    </w:p>
    <w:p>
      <w:pPr>
        <w:widowControl/>
        <w:spacing w:line="560" w:lineRule="exact"/>
        <w:jc w:val="center"/>
        <w:rPr>
          <w:rFonts w:eastAsia="方正小标宋_GBK"/>
          <w:kern w:val="0"/>
          <w:sz w:val="44"/>
          <w:szCs w:val="44"/>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2024年4月16日</w:t>
      </w:r>
      <w:r>
        <w:rPr>
          <w:rFonts w:hint="eastAsia" w:eastAsia="方正小标宋_GBK"/>
          <w:kern w:val="0"/>
          <w:sz w:val="44"/>
          <w:szCs w:val="44"/>
        </w:rPr>
        <w:t>2023年度江永县</w:t>
      </w:r>
      <w:r>
        <w:rPr>
          <w:rFonts w:hint="eastAsia" w:eastAsia="方正小标宋_GBK"/>
          <w:kern w:val="0"/>
          <w:sz w:val="44"/>
          <w:szCs w:val="44"/>
          <w:lang w:eastAsia="zh-CN"/>
        </w:rPr>
        <w:t>第一小</w:t>
      </w:r>
      <w:r>
        <w:rPr>
          <w:rFonts w:hint="eastAsia" w:eastAsia="方正小标宋_GBK"/>
          <w:kern w:val="0"/>
          <w:sz w:val="44"/>
          <w:szCs w:val="44"/>
        </w:rPr>
        <w:t>学整体支出</w:t>
      </w:r>
    </w:p>
    <w:p>
      <w:pPr>
        <w:widowControl/>
        <w:spacing w:line="560" w:lineRule="exact"/>
        <w:jc w:val="center"/>
        <w:rPr>
          <w:rFonts w:eastAsia="方正小标宋_GBK"/>
          <w:kern w:val="0"/>
          <w:sz w:val="44"/>
          <w:szCs w:val="44"/>
        </w:rPr>
      </w:pPr>
      <w:r>
        <w:rPr>
          <w:rFonts w:hint="eastAsia" w:eastAsia="方正小标宋_GBK"/>
          <w:kern w:val="0"/>
          <w:sz w:val="44"/>
          <w:szCs w:val="44"/>
        </w:rPr>
        <w:t>绩效自评报告</w:t>
      </w:r>
    </w:p>
    <w:p>
      <w:pPr>
        <w:widowControl/>
        <w:spacing w:line="560" w:lineRule="exact"/>
        <w:jc w:val="center"/>
        <w:rPr>
          <w:rFonts w:eastAsia="方正小标宋_GBK"/>
          <w:kern w:val="0"/>
          <w:sz w:val="32"/>
          <w:szCs w:val="32"/>
        </w:rPr>
      </w:pPr>
      <w:r>
        <w:rPr>
          <w:rFonts w:hint="eastAsia" w:eastAsia="方正小标宋_GBK"/>
          <w:kern w:val="0"/>
          <w:sz w:val="32"/>
          <w:szCs w:val="32"/>
        </w:rPr>
        <w:t>江永县</w:t>
      </w:r>
      <w:r>
        <w:rPr>
          <w:rFonts w:hint="eastAsia" w:eastAsia="方正小标宋_GBK"/>
          <w:kern w:val="0"/>
          <w:sz w:val="32"/>
          <w:szCs w:val="32"/>
          <w:lang w:eastAsia="zh-CN"/>
        </w:rPr>
        <w:t>第一小学</w:t>
      </w:r>
      <w:r>
        <w:rPr>
          <w:rFonts w:eastAsia="方正小标宋_GBK"/>
          <w:kern w:val="0"/>
          <w:sz w:val="32"/>
          <w:szCs w:val="32"/>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vAlign w:val="center"/>
          </w:tcPr>
          <w:p>
            <w:pPr>
              <w:widowControl/>
              <w:jc w:val="left"/>
              <w:rPr>
                <w:rFonts w:eastAsia="仿宋_GB2312"/>
                <w:kern w:val="0"/>
                <w:szCs w:val="21"/>
              </w:rPr>
            </w:pPr>
          </w:p>
        </w:tc>
        <w:tc>
          <w:tcPr>
            <w:tcW w:w="2038"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141</w:t>
            </w:r>
          </w:p>
        </w:tc>
        <w:tc>
          <w:tcPr>
            <w:tcW w:w="2240" w:type="dxa"/>
            <w:gridSpan w:val="2"/>
            <w:vAlign w:val="center"/>
          </w:tcPr>
          <w:p>
            <w:pPr>
              <w:widowControl/>
              <w:jc w:val="center"/>
              <w:rPr>
                <w:rFonts w:eastAsia="仿宋_GB2312"/>
                <w:kern w:val="0"/>
                <w:szCs w:val="21"/>
              </w:rPr>
            </w:pPr>
            <w:r>
              <w:rPr>
                <w:rFonts w:hint="eastAsia" w:eastAsia="仿宋_GB2312"/>
                <w:kern w:val="0"/>
                <w:szCs w:val="21"/>
                <w:lang w:val="en-US" w:eastAsia="zh-CN"/>
              </w:rPr>
              <w:t>141</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三公经费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项目支出：</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vAlign w:val="center"/>
          </w:tcPr>
          <w:p>
            <w:pPr>
              <w:widowControl/>
              <w:jc w:val="center"/>
              <w:rPr>
                <w:rFonts w:eastAsia="仿宋_GB2312"/>
                <w:kern w:val="0"/>
                <w:szCs w:val="21"/>
              </w:rPr>
            </w:pP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vAlign w:val="center"/>
          </w:tcPr>
          <w:p>
            <w:pPr>
              <w:widowControl/>
              <w:ind w:firstLine="420" w:firstLineChars="200"/>
              <w:jc w:val="left"/>
              <w:rPr>
                <w:rFonts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vAlign w:val="center"/>
          </w:tcPr>
          <w:p>
            <w:pPr>
              <w:widowControl/>
              <w:jc w:val="center"/>
              <w:rPr>
                <w:rFonts w:eastAsia="仿宋_GB2312"/>
                <w:color w:val="FF0000"/>
                <w:kern w:val="0"/>
                <w:szCs w:val="21"/>
              </w:rPr>
            </w:pPr>
          </w:p>
        </w:tc>
        <w:tc>
          <w:tcPr>
            <w:tcW w:w="2240"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c>
          <w:tcPr>
            <w:tcW w:w="1832"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公用经费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vAlign w:val="center"/>
          </w:tcPr>
          <w:p>
            <w:pPr>
              <w:widowControl/>
              <w:spacing w:line="240" w:lineRule="exact"/>
              <w:jc w:val="center"/>
              <w:rPr>
                <w:rFonts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354" w:type="dxa"/>
            <w:vMerge w:val="continue"/>
            <w:vAlign w:val="center"/>
          </w:tcPr>
          <w:p>
            <w:pPr>
              <w:widowControl/>
              <w:jc w:val="left"/>
              <w:rPr>
                <w:rFonts w:eastAsia="仿宋_GB2312"/>
                <w:kern w:val="0"/>
                <w:szCs w:val="21"/>
              </w:rPr>
            </w:pPr>
          </w:p>
        </w:tc>
        <w:tc>
          <w:tcPr>
            <w:tcW w:w="1189" w:type="dxa"/>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2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1111"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96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863" w:type="dxa"/>
            <w:vAlign w:val="center"/>
          </w:tcPr>
          <w:p>
            <w:pPr>
              <w:widowControl/>
              <w:jc w:val="center"/>
              <w:rPr>
                <w:rFonts w:eastAsia="仿宋_GB2312"/>
                <w:kern w:val="0"/>
                <w:szCs w:val="21"/>
              </w:rPr>
            </w:pPr>
            <w:r>
              <w:rPr>
                <w:rFonts w:hint="eastAsia" w:eastAsia="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3354" w:type="dxa"/>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pStyle w:val="2"/>
        <w:widowControl w:val="0"/>
        <w:wordWrap/>
        <w:adjustRightInd/>
        <w:snapToGrid/>
        <w:spacing w:line="240" w:lineRule="atLeast"/>
        <w:jc w:val="center"/>
        <w:textAlignment w:val="auto"/>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tbl>
      <w:tblPr>
        <w:tblStyle w:val="5"/>
        <w:tblW w:w="9580" w:type="dxa"/>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6" w:hRule="atLeast"/>
        </w:trPr>
        <w:tc>
          <w:tcPr>
            <w:tcW w:w="9580" w:type="dxa"/>
            <w:tcBorders>
              <w:top w:val="nil"/>
              <w:left w:val="nil"/>
              <w:bottom w:val="nil"/>
              <w:right w:val="nil"/>
            </w:tcBorders>
            <w:vAlign w:val="center"/>
          </w:tcPr>
          <w:tbl>
            <w:tblPr>
              <w:tblStyle w:val="5"/>
              <w:tblW w:w="1050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5"/>
              <w:gridCol w:w="465"/>
              <w:gridCol w:w="483"/>
              <w:gridCol w:w="914"/>
              <w:gridCol w:w="1340"/>
              <w:gridCol w:w="25"/>
              <w:gridCol w:w="1256"/>
              <w:gridCol w:w="946"/>
              <w:gridCol w:w="446"/>
              <w:gridCol w:w="498"/>
              <w:gridCol w:w="820"/>
              <w:gridCol w:w="746"/>
              <w:gridCol w:w="991"/>
              <w:gridCol w:w="1569"/>
              <w:gridCol w:w="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After w:val="1"/>
                <w:wAfter w:w="5" w:type="dxa"/>
                <w:trHeight w:val="867" w:hRule="atLeast"/>
              </w:trPr>
              <w:tc>
                <w:tcPr>
                  <w:tcW w:w="10504" w:type="dxa"/>
                  <w:gridSpan w:val="14"/>
                  <w:vAlign w:val="center"/>
                </w:tcPr>
                <w:p>
                  <w:pPr>
                    <w:autoSpaceDN w:val="0"/>
                    <w:jc w:val="center"/>
                    <w:textAlignment w:val="center"/>
                    <w:rPr>
                      <w:rFonts w:hint="default" w:ascii="宋体" w:hAnsi="宋体" w:eastAsia="宋体"/>
                      <w:b/>
                      <w:i w:val="0"/>
                      <w:color w:val="000000"/>
                      <w:sz w:val="40"/>
                      <w:u w:val="none"/>
                      <w:lang w:eastAsia="zh-CN"/>
                    </w:rPr>
                  </w:pPr>
                  <w:r>
                    <w:rPr>
                      <w:rFonts w:hint="default" w:ascii="宋体" w:hAnsi="宋体" w:eastAsia="宋体"/>
                      <w:b/>
                      <w:i w:val="0"/>
                      <w:color w:val="000000"/>
                      <w:sz w:val="40"/>
                      <w:u w:val="none"/>
                      <w:lang w:eastAsia="zh-CN"/>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44" w:hRule="atLeast"/>
              </w:trPr>
              <w:tc>
                <w:tcPr>
                  <w:tcW w:w="10504" w:type="dxa"/>
                  <w:gridSpan w:val="1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08" w:hRule="atLeast"/>
              </w:trPr>
              <w:tc>
                <w:tcPr>
                  <w:tcW w:w="1862" w:type="dxa"/>
                  <w:gridSpan w:val="3"/>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预算部门名称</w:t>
                  </w:r>
                </w:p>
              </w:tc>
              <w:tc>
                <w:tcPr>
                  <w:tcW w:w="8642" w:type="dxa"/>
                  <w:gridSpan w:val="11"/>
                  <w:tcBorders>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Microsoft YaHei UI" w:hAnsi="宋体"/>
                      <w:b w:val="0"/>
                      <w:i w:val="0"/>
                      <w:color w:val="000000"/>
                      <w:sz w:val="20"/>
                      <w:u w:val="none"/>
                    </w:rPr>
                  </w:pPr>
                  <w:r>
                    <w:rPr>
                      <w:rFonts w:hint="default" w:ascii="Microsoft YaHei UI" w:hAnsi="宋体"/>
                      <w:b w:val="0"/>
                      <w:i w:val="0"/>
                      <w:color w:val="000000"/>
                      <w:sz w:val="20"/>
                      <w:u w:val="none"/>
                    </w:rPr>
                    <w:t>年度预算申请</w:t>
                  </w:r>
                  <w:r>
                    <w:rPr>
                      <w:rFonts w:hint="default" w:ascii="Microsoft YaHei UI" w:hAnsi="宋体"/>
                      <w:b w:val="0"/>
                      <w:i w:val="0"/>
                      <w:color w:val="000000"/>
                      <w:sz w:val="20"/>
                      <w:u w:val="none"/>
                    </w:rPr>
                    <w:br w:type="textWrapping"/>
                  </w:r>
                  <w:r>
                    <w:rPr>
                      <w:rFonts w:hint="default" w:ascii="Microsoft YaHei UI" w:hAnsi="宋体"/>
                      <w:b w:val="0"/>
                      <w:i w:val="0"/>
                      <w:color w:val="000000"/>
                      <w:sz w:val="20"/>
                      <w:u w:val="none"/>
                    </w:rPr>
                    <w:t>(万元)</w:t>
                  </w: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0"/>
                      <w:u w:val="none"/>
                      <w:lang w:eastAsia="zh-CN"/>
                    </w:rPr>
                  </w:pPr>
                </w:p>
              </w:tc>
              <w:tc>
                <w:tcPr>
                  <w:tcW w:w="125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年初预算数(万元)</w:t>
                  </w:r>
                </w:p>
              </w:tc>
              <w:tc>
                <w:tcPr>
                  <w:tcW w:w="9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全年预算数（万元）</w:t>
                  </w:r>
                </w:p>
              </w:tc>
              <w:tc>
                <w:tcPr>
                  <w:tcW w:w="1764"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全年执行数（万元）</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分值</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执行率</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78"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年度资金总额：</w:t>
                  </w:r>
                </w:p>
              </w:tc>
              <w:tc>
                <w:tcPr>
                  <w:tcW w:w="125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946"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1764" w:type="dxa"/>
                  <w:gridSpan w:val="3"/>
                  <w:tcBorders>
                    <w:top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100.00%</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0"/>
                      <w:u w:val="none"/>
                    </w:rPr>
                  </w:pPr>
                  <w:r>
                    <w:rPr>
                      <w:rFonts w:hint="default" w:ascii="仿宋_GB2312" w:hAnsi="宋体"/>
                      <w:b/>
                      <w:i w:val="0"/>
                      <w:color w:val="000000"/>
                      <w:sz w:val="20"/>
                      <w:u w:val="none"/>
                    </w:rPr>
                    <w:t>按收入性质分：</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743"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一般公共预算：</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其中:基本支出：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1744.62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政府性基金拨款：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纳入专户管理的非税收入拨款：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项目支出：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97.60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7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其他资金</w:t>
                  </w:r>
                </w:p>
              </w:tc>
              <w:tc>
                <w:tcPr>
                  <w:tcW w:w="3966" w:type="dxa"/>
                  <w:gridSpan w:val="5"/>
                  <w:tcBorders>
                    <w:top w:val="single" w:color="000000" w:sz="4" w:space="0"/>
                    <w:left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8" w:hRule="atLeast"/>
              </w:trPr>
              <w:tc>
                <w:tcPr>
                  <w:tcW w:w="1862"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年度总体目标</w:t>
                  </w: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预期目标</w:t>
                  </w:r>
                </w:p>
              </w:tc>
              <w:tc>
                <w:tcPr>
                  <w:tcW w:w="3311" w:type="dxa"/>
                  <w:gridSpan w:val="4"/>
                  <w:tcBorders>
                    <w:top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1057" w:hRule="atLeast"/>
              </w:trPr>
              <w:tc>
                <w:tcPr>
                  <w:tcW w:w="1862"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3311" w:type="dxa"/>
                  <w:gridSpan w:val="4"/>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31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一级指标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二级指标</w:t>
                  </w:r>
                </w:p>
              </w:tc>
              <w:tc>
                <w:tcPr>
                  <w:tcW w:w="134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三级指标</w:t>
                  </w:r>
                </w:p>
              </w:tc>
              <w:tc>
                <w:tcPr>
                  <w:tcW w:w="128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年度指标值</w:t>
                  </w:r>
                </w:p>
              </w:tc>
              <w:tc>
                <w:tcPr>
                  <w:tcW w:w="1392"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实际完成值</w:t>
                  </w:r>
                </w:p>
              </w:tc>
              <w:tc>
                <w:tcPr>
                  <w:tcW w:w="49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分值</w:t>
                  </w:r>
                </w:p>
              </w:tc>
              <w:tc>
                <w:tcPr>
                  <w:tcW w:w="82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c>
                <w:tcPr>
                  <w:tcW w:w="3311" w:type="dxa"/>
                  <w:gridSpan w:val="4"/>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94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281"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392"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98"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820"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3311" w:type="dxa"/>
                  <w:gridSpan w:val="4"/>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产出指标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数量指标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教师培训人次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一次性退休补贴发放人数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遗属人员</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体检人次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课后服务人数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restart"/>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教师节慰问金发放人数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班主任津贴发放人数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质量指标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校园系统完成率</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培训考核完成率</w:t>
                  </w:r>
                </w:p>
              </w:tc>
              <w:tc>
                <w:tcPr>
                  <w:tcW w:w="1281"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时效指标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完成时间</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效益指标</w:t>
                  </w:r>
                </w:p>
              </w:tc>
              <w:tc>
                <w:tcPr>
                  <w:tcW w:w="91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经济效益指标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学生入学率</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sz w:val="24"/>
                    </w:rPr>
                  </w:pP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74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学生安全事故发生次数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498"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校园环境美化、绿化</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可持续影响指标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156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满意度指标</w:t>
                  </w: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服务对象满意度指标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家长满意度</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成本指标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基本支出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项目支出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生态环境成本指标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bl>
          <w:p>
            <w:pPr>
              <w:widowControl/>
              <w:jc w:val="center"/>
              <w:textAlignment w:val="center"/>
              <w:rPr>
                <w:rFonts w:hint="eastAsia" w:ascii="宋体" w:hAnsi="宋体" w:eastAsia="宋体" w:cs="宋体"/>
                <w:b/>
                <w:bCs/>
                <w:i w:val="0"/>
                <w:iCs w:val="0"/>
                <w:color w:val="000000"/>
                <w:sz w:val="52"/>
                <w:szCs w:val="52"/>
                <w:u w:val="none"/>
              </w:rPr>
            </w:pPr>
          </w:p>
        </w:tc>
      </w:tr>
    </w:tbl>
    <w:p>
      <w:pPr>
        <w:pStyle w:val="2"/>
        <w:widowControl w:val="0"/>
        <w:wordWrap/>
        <w:adjustRightInd/>
        <w:snapToGrid/>
        <w:spacing w:line="240" w:lineRule="atLeast"/>
        <w:jc w:val="both"/>
        <w:textAlignment w:val="auto"/>
        <w:rPr>
          <w:rFonts w:hint="eastAsia" w:ascii="黑体" w:hAnsi="黑体" w:eastAsia="黑体"/>
          <w:kern w:val="0"/>
          <w:sz w:val="32"/>
          <w:szCs w:val="32"/>
        </w:rPr>
      </w:pPr>
    </w:p>
    <w:p>
      <w:pPr>
        <w:pStyle w:val="2"/>
        <w:widowControl w:val="0"/>
        <w:wordWrap/>
        <w:adjustRightInd/>
        <w:snapToGrid/>
        <w:spacing w:line="240" w:lineRule="atLeast"/>
        <w:jc w:val="center"/>
        <w:textAlignment w:val="auto"/>
        <w:rPr>
          <w:rFonts w:ascii="黑体" w:hAnsi="黑体" w:eastAsia="黑体"/>
          <w:kern w:val="0"/>
          <w:sz w:val="32"/>
          <w:szCs w:val="32"/>
        </w:rPr>
      </w:pPr>
      <w:r>
        <w:rPr>
          <w:rFonts w:hint="eastAsia" w:ascii="黑体" w:hAnsi="黑体" w:eastAsia="黑体"/>
          <w:kern w:val="0"/>
          <w:sz w:val="32"/>
          <w:szCs w:val="32"/>
        </w:rPr>
        <w:t>江永县</w:t>
      </w:r>
      <w:r>
        <w:rPr>
          <w:rFonts w:hint="eastAsia" w:ascii="黑体" w:hAnsi="黑体" w:eastAsia="黑体"/>
          <w:kern w:val="0"/>
          <w:sz w:val="32"/>
          <w:szCs w:val="32"/>
          <w:lang w:eastAsia="zh-CN"/>
        </w:rPr>
        <w:t>第一小</w:t>
      </w:r>
      <w:r>
        <w:rPr>
          <w:rFonts w:hint="eastAsia" w:ascii="黑体" w:hAnsi="黑体" w:eastAsia="黑体"/>
          <w:kern w:val="0"/>
          <w:sz w:val="32"/>
          <w:szCs w:val="32"/>
        </w:rPr>
        <w:t>学</w:t>
      </w:r>
      <w:r>
        <w:rPr>
          <w:rFonts w:ascii="黑体" w:hAnsi="黑体" w:eastAsia="黑体"/>
          <w:kern w:val="0"/>
          <w:sz w:val="32"/>
          <w:szCs w:val="32"/>
        </w:rPr>
        <w:t>部门整体支出绩效评价表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pPr>
          </w:p>
          <w:p>
            <w:pPr>
              <w:pStyle w:val="2"/>
            </w:pPr>
          </w:p>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rFonts w:hint="eastAsia"/>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r>
              <w:rPr>
                <w:rFonts w:hint="eastAsia"/>
                <w:kern w:val="0"/>
                <w:sz w:val="24"/>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 w:val="24"/>
              </w:rPr>
            </w:pPr>
            <w:r>
              <w:rPr>
                <w:rFonts w:hint="eastAsia" w:ascii="宋体" w:hAnsi="宋体"/>
                <w:color w:val="000000"/>
                <w:kern w:val="0"/>
                <w:sz w:val="24"/>
              </w:rPr>
              <w:t>100</w:t>
            </w:r>
          </w:p>
        </w:tc>
      </w:tr>
    </w:tbl>
    <w:p>
      <w:pPr>
        <w:widowControl/>
        <w:spacing w:line="560" w:lineRule="exact"/>
        <w:jc w:val="both"/>
        <w:rPr>
          <w:rFonts w:eastAsia="方正小标宋_GBK"/>
          <w:color w:val="000000"/>
          <w:kern w:val="0"/>
          <w:sz w:val="44"/>
          <w:szCs w:val="44"/>
        </w:rPr>
      </w:pPr>
    </w:p>
    <w:p>
      <w:pPr>
        <w:rPr>
          <w:rFonts w:hint="eastAsia"/>
          <w:lang w:val="en-US" w:eastAsia="zh-CN"/>
        </w:rPr>
      </w:pPr>
    </w:p>
    <w:p>
      <w:pPr>
        <w:jc w:val="center"/>
        <w:rPr>
          <w:rFonts w:hint="eastAsia" w:ascii="宋体" w:hAnsi="宋体" w:eastAsia="宋体"/>
          <w:b/>
          <w:sz w:val="44"/>
          <w:szCs w:val="44"/>
        </w:rPr>
      </w:pPr>
      <w:r>
        <w:rPr>
          <w:rFonts w:hint="eastAsia" w:ascii="宋体" w:hAnsi="宋体" w:eastAsia="宋体"/>
          <w:b/>
          <w:sz w:val="44"/>
          <w:szCs w:val="44"/>
          <w:lang w:eastAsia="zh-CN"/>
        </w:rPr>
        <w:t>课后服务</w:t>
      </w:r>
      <w:r>
        <w:rPr>
          <w:rFonts w:hint="eastAsia" w:ascii="宋体" w:hAnsi="宋体" w:eastAsia="宋体"/>
          <w:b/>
          <w:sz w:val="44"/>
          <w:szCs w:val="44"/>
        </w:rPr>
        <w:t>专项经费2023年绩效</w:t>
      </w:r>
    </w:p>
    <w:p>
      <w:pPr>
        <w:jc w:val="center"/>
        <w:rPr>
          <w:rFonts w:hint="eastAsia" w:ascii="宋体" w:hAnsi="宋体" w:eastAsia="宋体"/>
          <w:b/>
          <w:sz w:val="44"/>
          <w:szCs w:val="44"/>
        </w:rPr>
      </w:pPr>
      <w:r>
        <w:rPr>
          <w:rFonts w:hint="eastAsia" w:ascii="宋体" w:hAnsi="宋体" w:eastAsia="宋体"/>
          <w:b/>
          <w:sz w:val="44"/>
          <w:szCs w:val="44"/>
        </w:rPr>
        <w:t>自评报告</w:t>
      </w:r>
    </w:p>
    <w:p>
      <w:pPr>
        <w:ind w:firstLine="560" w:firstLineChars="200"/>
        <w:rPr>
          <w:rFonts w:ascii="宋体" w:hAnsi="宋体" w:eastAsia="宋体"/>
          <w:sz w:val="28"/>
          <w:szCs w:val="28"/>
        </w:rPr>
      </w:pPr>
      <w:r>
        <w:rPr>
          <w:rFonts w:hint="eastAsia" w:ascii="宋体" w:hAnsi="宋体" w:eastAsia="宋体"/>
          <w:sz w:val="28"/>
          <w:szCs w:val="28"/>
        </w:rPr>
        <w:t>为</w:t>
      </w:r>
      <w:r>
        <w:rPr>
          <w:rFonts w:hint="eastAsia" w:ascii="宋体" w:hAnsi="宋体" w:eastAsia="宋体"/>
          <w:color w:val="000000"/>
          <w:spacing w:val="-2"/>
          <w:sz w:val="28"/>
          <w:szCs w:val="28"/>
        </w:rPr>
        <w:t>进一步规范和加强项目资金管理，切实提高财政资金使用效益，</w:t>
      </w:r>
      <w:r>
        <w:rPr>
          <w:rFonts w:hint="eastAsia" w:ascii="宋体" w:hAnsi="宋体" w:eastAsia="宋体"/>
          <w:sz w:val="28"/>
          <w:szCs w:val="28"/>
        </w:rPr>
        <w:t>我校对</w:t>
      </w:r>
      <w:r>
        <w:rPr>
          <w:rFonts w:hint="eastAsia" w:ascii="宋体" w:hAnsi="宋体" w:eastAsia="宋体"/>
          <w:sz w:val="28"/>
          <w:szCs w:val="28"/>
          <w:lang w:eastAsia="zh-CN"/>
        </w:rPr>
        <w:t>课后服务</w:t>
      </w:r>
      <w:r>
        <w:rPr>
          <w:rFonts w:hint="eastAsia" w:ascii="宋体" w:hAnsi="宋体" w:eastAsia="宋体"/>
          <w:sz w:val="28"/>
          <w:szCs w:val="28"/>
        </w:rPr>
        <w:t>专项经费进行了认真、仔细的绩效自评。</w:t>
      </w:r>
    </w:p>
    <w:p>
      <w:pPr>
        <w:ind w:firstLine="562" w:firstLineChars="200"/>
        <w:rPr>
          <w:rFonts w:ascii="宋体" w:hAnsi="宋体"/>
          <w:b/>
          <w:bCs/>
          <w:sz w:val="28"/>
          <w:szCs w:val="28"/>
        </w:rPr>
      </w:pPr>
      <w:r>
        <w:rPr>
          <w:rFonts w:hint="eastAsia" w:ascii="宋体" w:hAnsi="宋体"/>
          <w:b/>
          <w:bCs/>
          <w:sz w:val="28"/>
          <w:szCs w:val="28"/>
        </w:rPr>
        <w:t>一、绩效目标分解下达情况</w:t>
      </w:r>
    </w:p>
    <w:p>
      <w:pPr>
        <w:ind w:firstLine="560" w:firstLineChars="200"/>
        <w:rPr>
          <w:rFonts w:ascii="宋体" w:hAnsi="宋体"/>
          <w:sz w:val="28"/>
          <w:szCs w:val="28"/>
        </w:rPr>
      </w:pPr>
      <w:r>
        <w:rPr>
          <w:rFonts w:hint="eastAsia" w:ascii="宋体" w:hAnsi="宋体"/>
          <w:sz w:val="28"/>
          <w:szCs w:val="28"/>
        </w:rPr>
        <w:t>2023年度</w:t>
      </w:r>
      <w:r>
        <w:rPr>
          <w:rFonts w:hint="eastAsia" w:ascii="宋体" w:hAnsi="宋体"/>
          <w:sz w:val="28"/>
          <w:szCs w:val="28"/>
          <w:lang w:eastAsia="zh-CN"/>
        </w:rPr>
        <w:t>江永县第一小学课后服务专项经费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w:t>
      </w:r>
      <w:r>
        <w:rPr>
          <w:rFonts w:hint="eastAsia" w:ascii="宋体" w:hAnsi="宋体"/>
          <w:sz w:val="28"/>
          <w:szCs w:val="28"/>
          <w:lang w:eastAsia="zh-CN"/>
        </w:rPr>
        <w:t>资金来源是参加课后服务的学生家长缴纳课后服务费，</w:t>
      </w:r>
      <w:r>
        <w:rPr>
          <w:rFonts w:hint="eastAsia" w:ascii="宋体" w:hAnsi="宋体"/>
          <w:sz w:val="28"/>
          <w:szCs w:val="28"/>
        </w:rPr>
        <w:t>截至 2023年12月 31 日，共支出</w:t>
      </w:r>
      <w:r>
        <w:rPr>
          <w:rFonts w:hint="eastAsia" w:ascii="宋体" w:hAnsi="宋体"/>
          <w:sz w:val="28"/>
          <w:szCs w:val="28"/>
          <w:lang w:val="en-US" w:eastAsia="zh-CN"/>
        </w:rPr>
        <w:t>97.6</w:t>
      </w:r>
      <w:r>
        <w:rPr>
          <w:rFonts w:hint="eastAsia" w:ascii="宋体" w:hAnsi="宋体"/>
          <w:sz w:val="28"/>
          <w:szCs w:val="28"/>
        </w:rPr>
        <w:t>万元，完成率为100%。</w:t>
      </w:r>
    </w:p>
    <w:p/>
    <w:p>
      <w:pPr>
        <w:ind w:firstLine="562" w:firstLineChars="200"/>
        <w:rPr>
          <w:rFonts w:ascii="宋体" w:hAnsi="宋体"/>
          <w:b/>
          <w:bCs/>
          <w:sz w:val="28"/>
          <w:szCs w:val="28"/>
        </w:rPr>
      </w:pPr>
      <w:r>
        <w:rPr>
          <w:rFonts w:hint="eastAsia" w:ascii="宋体" w:hAnsi="宋体"/>
          <w:b/>
          <w:bCs/>
          <w:sz w:val="28"/>
          <w:szCs w:val="28"/>
        </w:rPr>
        <w:t>二、绩效目标完成情况分析</w:t>
      </w:r>
    </w:p>
    <w:p>
      <w:pPr>
        <w:ind w:firstLine="560" w:firstLineChars="200"/>
        <w:rPr>
          <w:rFonts w:hint="eastAsia" w:ascii="宋体" w:hAnsi="宋体"/>
          <w:sz w:val="28"/>
          <w:szCs w:val="28"/>
        </w:rPr>
      </w:pPr>
      <w:r>
        <w:rPr>
          <w:rFonts w:hint="eastAsia" w:ascii="宋体" w:hAnsi="宋体"/>
          <w:sz w:val="28"/>
          <w:szCs w:val="28"/>
        </w:rPr>
        <w:t>（一）资金投入情况分析：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万元，到位率 100%。</w:t>
      </w:r>
    </w:p>
    <w:p>
      <w:pPr>
        <w:ind w:firstLine="560" w:firstLineChars="200"/>
        <w:rPr>
          <w:rFonts w:ascii="宋体" w:hAnsi="宋体"/>
          <w:sz w:val="28"/>
          <w:szCs w:val="28"/>
        </w:rPr>
      </w:pPr>
      <w:r>
        <w:rPr>
          <w:rFonts w:hint="eastAsia" w:ascii="宋体" w:hAnsi="宋体"/>
          <w:sz w:val="28"/>
          <w:szCs w:val="28"/>
        </w:rPr>
        <w:t>（二）项目资金执行情况分析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w:t>
      </w:r>
      <w:r>
        <w:rPr>
          <w:rFonts w:hint="eastAsia" w:ascii="宋体" w:hAnsi="宋体"/>
          <w:sz w:val="28"/>
          <w:szCs w:val="28"/>
        </w:rPr>
        <w:t>资金项目用途进行保障支付</w:t>
      </w:r>
      <w:r>
        <w:rPr>
          <w:rFonts w:hint="eastAsia" w:ascii="宋体" w:hAnsi="宋体"/>
          <w:sz w:val="28"/>
          <w:szCs w:val="28"/>
          <w:lang w:eastAsia="zh-CN"/>
        </w:rPr>
        <w:t>，课后服务专项</w:t>
      </w:r>
      <w:r>
        <w:rPr>
          <w:rFonts w:hint="eastAsia" w:ascii="宋体" w:hAnsi="宋体"/>
          <w:sz w:val="28"/>
          <w:szCs w:val="28"/>
        </w:rPr>
        <w:t>资金主要用于</w:t>
      </w:r>
      <w:r>
        <w:rPr>
          <w:rFonts w:hint="eastAsia" w:ascii="宋体" w:hAnsi="宋体"/>
          <w:sz w:val="28"/>
          <w:szCs w:val="28"/>
          <w:lang w:eastAsia="zh-CN"/>
        </w:rPr>
        <w:t>教师对学校参加课后服务项目的学生进行辅导支出的费用</w:t>
      </w:r>
      <w:r>
        <w:rPr>
          <w:rFonts w:hint="eastAsia" w:ascii="宋体" w:hAnsi="宋体"/>
          <w:sz w:val="28"/>
          <w:szCs w:val="28"/>
        </w:rPr>
        <w:t>开支。截止 2023年12月 31 日，共支出</w:t>
      </w:r>
      <w:r>
        <w:rPr>
          <w:rFonts w:hint="eastAsia" w:ascii="宋体" w:hAnsi="宋体"/>
          <w:sz w:val="28"/>
          <w:szCs w:val="28"/>
          <w:lang w:val="en-US" w:eastAsia="zh-CN"/>
        </w:rPr>
        <w:t>97.6</w:t>
      </w:r>
      <w:r>
        <w:rPr>
          <w:rFonts w:hint="eastAsia" w:ascii="宋体" w:hAnsi="宋体"/>
          <w:sz w:val="28"/>
          <w:szCs w:val="28"/>
        </w:rPr>
        <w:t>万元。</w:t>
      </w:r>
    </w:p>
    <w:p>
      <w:pPr>
        <w:numPr>
          <w:ilvl w:val="0"/>
          <w:numId w:val="1"/>
        </w:numPr>
        <w:ind w:firstLine="560" w:firstLineChars="200"/>
        <w:rPr>
          <w:rFonts w:hint="eastAsia" w:ascii="宋体" w:hAnsi="宋体"/>
          <w:sz w:val="28"/>
          <w:szCs w:val="28"/>
        </w:rPr>
      </w:pPr>
      <w:r>
        <w:rPr>
          <w:rFonts w:hint="eastAsia" w:ascii="宋体" w:hAnsi="宋体"/>
          <w:sz w:val="28"/>
          <w:szCs w:val="28"/>
        </w:rPr>
        <w:t>项目资金管理情况分析</w:t>
      </w:r>
    </w:p>
    <w:p>
      <w:pPr>
        <w:numPr>
          <w:ilvl w:val="0"/>
          <w:numId w:val="0"/>
        </w:numPr>
        <w:rPr>
          <w:rFonts w:hint="eastAsia"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1.加强专项资金管理，提高资金使用效益。在项目组织实施过程中，根据国家相关法律法规，结合本单位的财务管理规定，对专项资金管理使用做了统筹安排，统一部署，明确了工作职责和要求。</w:t>
      </w:r>
    </w:p>
    <w:p>
      <w:pPr>
        <w:ind w:firstLine="560" w:firstLineChars="200"/>
        <w:rPr>
          <w:rFonts w:hint="eastAsia" w:ascii="宋体" w:hAnsi="宋体"/>
          <w:sz w:val="28"/>
          <w:szCs w:val="28"/>
        </w:rPr>
      </w:pPr>
      <w:r>
        <w:rPr>
          <w:rFonts w:hint="eastAsia" w:ascii="宋体" w:hAnsi="宋体"/>
          <w:sz w:val="28"/>
          <w:szCs w:val="28"/>
        </w:rPr>
        <w:t>2.做好项目实施的跟踪检查工作，确保项目实施工作稳步推进，达到预期绩效目标。所有项目的日常管理工作均按照专项资金支付要求执行，全面完成了既定的工作目标，工作取得了较好的成效获得了社会公众的好评。</w:t>
      </w:r>
    </w:p>
    <w:p>
      <w:pPr>
        <w:ind w:firstLine="562" w:firstLineChars="200"/>
        <w:rPr>
          <w:rFonts w:ascii="宋体" w:hAnsi="宋体"/>
          <w:b/>
          <w:bCs/>
          <w:sz w:val="28"/>
          <w:szCs w:val="28"/>
        </w:rPr>
      </w:pPr>
      <w:r>
        <w:rPr>
          <w:rFonts w:hint="eastAsia" w:ascii="宋体" w:hAnsi="宋体"/>
          <w:b/>
          <w:bCs/>
          <w:sz w:val="28"/>
          <w:szCs w:val="28"/>
        </w:rPr>
        <w:t>三、下一步改进措施</w:t>
      </w:r>
    </w:p>
    <w:p>
      <w:pPr>
        <w:ind w:firstLine="560" w:firstLineChars="200"/>
        <w:rPr>
          <w:rFonts w:hint="eastAsia" w:ascii="宋体" w:hAnsi="宋体"/>
          <w:sz w:val="28"/>
          <w:szCs w:val="28"/>
        </w:rPr>
      </w:pPr>
      <w:r>
        <w:rPr>
          <w:rFonts w:hint="eastAsia" w:ascii="宋体" w:hAnsi="宋体"/>
          <w:sz w:val="28"/>
          <w:szCs w:val="28"/>
        </w:rPr>
        <w:t>一是建议加大</w:t>
      </w:r>
      <w:r>
        <w:rPr>
          <w:rFonts w:hint="eastAsia" w:ascii="宋体" w:hAnsi="宋体"/>
          <w:sz w:val="28"/>
          <w:szCs w:val="28"/>
          <w:lang w:eastAsia="zh-CN"/>
        </w:rPr>
        <w:t>课后服务的管理</w:t>
      </w:r>
      <w:r>
        <w:rPr>
          <w:rFonts w:hint="eastAsia" w:ascii="宋体" w:hAnsi="宋体"/>
          <w:sz w:val="28"/>
          <w:szCs w:val="28"/>
        </w:rPr>
        <w:t>力度，</w:t>
      </w:r>
      <w:r>
        <w:rPr>
          <w:rFonts w:hint="eastAsia" w:ascii="宋体" w:hAnsi="宋体"/>
          <w:sz w:val="28"/>
          <w:szCs w:val="28"/>
          <w:lang w:eastAsia="zh-CN"/>
        </w:rPr>
        <w:t>增加课后服务项目，满足学生的需求，</w:t>
      </w:r>
      <w:r>
        <w:rPr>
          <w:rFonts w:hint="eastAsia" w:ascii="宋体" w:hAnsi="宋体"/>
          <w:sz w:val="28"/>
          <w:szCs w:val="28"/>
        </w:rPr>
        <w:t>提高教学环境和质量，促进教育事业的健康快速高质量发展。</w:t>
      </w:r>
    </w:p>
    <w:p>
      <w:pPr>
        <w:ind w:firstLine="560" w:firstLineChars="200"/>
        <w:rPr>
          <w:rFonts w:hint="eastAsia" w:ascii="宋体" w:hAnsi="宋体"/>
          <w:sz w:val="28"/>
          <w:szCs w:val="28"/>
        </w:rPr>
      </w:pPr>
      <w:r>
        <w:rPr>
          <w:rFonts w:hint="eastAsia" w:ascii="宋体" w:hAnsi="宋体"/>
          <w:sz w:val="28"/>
          <w:szCs w:val="28"/>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rPr>
      </w:pPr>
      <w:r>
        <w:rPr>
          <w:rFonts w:hint="eastAsia"/>
        </w:rPr>
        <w:t xml:space="preserve">                      </w:t>
      </w:r>
    </w:p>
    <w:p>
      <w:pPr>
        <w:pStyle w:val="2"/>
        <w:rPr>
          <w:rFonts w:hint="eastAsia"/>
        </w:rPr>
      </w:pPr>
    </w:p>
    <w:p>
      <w:pPr>
        <w:rPr>
          <w:rFonts w:hint="eastAsia"/>
          <w:sz w:val="28"/>
          <w:szCs w:val="28"/>
          <w:lang w:val="en-US" w:eastAsia="zh-CN"/>
        </w:rPr>
      </w:pPr>
      <w:r>
        <w:rPr>
          <w:rFonts w:hint="eastAsia"/>
          <w:lang w:val="en-US" w:eastAsia="zh-CN"/>
        </w:rPr>
        <w:t xml:space="preserve">                                                         </w:t>
      </w:r>
      <w:r>
        <w:rPr>
          <w:rFonts w:hint="eastAsia"/>
          <w:sz w:val="28"/>
          <w:szCs w:val="28"/>
          <w:lang w:val="en-US" w:eastAsia="zh-CN"/>
        </w:rPr>
        <w:t xml:space="preserve">  江永县第一小学</w:t>
      </w:r>
    </w:p>
    <w:p>
      <w:pPr>
        <w:pStyle w:val="2"/>
        <w:rPr>
          <w:rFonts w:hint="eastAsia"/>
          <w:b w:val="0"/>
          <w:bCs/>
          <w:lang w:val="en-US" w:eastAsia="zh-CN"/>
        </w:rPr>
      </w:pPr>
      <w:r>
        <w:rPr>
          <w:rFonts w:hint="eastAsia"/>
          <w:sz w:val="28"/>
          <w:szCs w:val="28"/>
          <w:lang w:val="en-US" w:eastAsia="zh-CN"/>
        </w:rPr>
        <w:t xml:space="preserve">                                           </w:t>
      </w:r>
      <w:r>
        <w:rPr>
          <w:rFonts w:hint="eastAsia"/>
          <w:b w:val="0"/>
          <w:bCs/>
          <w:sz w:val="28"/>
          <w:szCs w:val="28"/>
          <w:lang w:val="en-US" w:eastAsia="zh-CN"/>
        </w:rPr>
        <w:t xml:space="preserve"> 2024年4月16日</w:t>
      </w:r>
    </w:p>
    <w:p>
      <w:pPr>
        <w:rPr>
          <w:rFonts w:hint="eastAsia"/>
        </w:rPr>
      </w:pPr>
    </w:p>
    <w:p>
      <w:pPr>
        <w:rPr>
          <w:rFonts w:hint="eastAsia"/>
        </w:rPr>
      </w:pPr>
    </w:p>
    <w:p>
      <w:pPr>
        <w:rPr>
          <w:rFonts w:hint="eastAsia"/>
        </w:rPr>
      </w:pPr>
    </w:p>
    <w:p>
      <w:pPr>
        <w:ind w:firstLine="560" w:firstLineChars="200"/>
        <w:rPr>
          <w:rFonts w:ascii="宋体" w:hAnsi="宋体"/>
          <w:sz w:val="28"/>
          <w:szCs w:val="28"/>
        </w:rPr>
      </w:pPr>
    </w:p>
    <w:p>
      <w:pPr>
        <w:pStyle w:val="2"/>
      </w:pPr>
    </w:p>
    <w:tbl>
      <w:tblPr>
        <w:tblStyle w:val="5"/>
        <w:tblW w:w="10238" w:type="dxa"/>
        <w:tblInd w:w="-8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1425"/>
        <w:gridCol w:w="569"/>
        <w:gridCol w:w="867"/>
        <w:gridCol w:w="1328"/>
        <w:gridCol w:w="1184"/>
        <w:gridCol w:w="1314"/>
        <w:gridCol w:w="30"/>
        <w:gridCol w:w="866"/>
        <w:gridCol w:w="30"/>
        <w:gridCol w:w="1323"/>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99" w:hRule="atLeast"/>
        </w:trPr>
        <w:tc>
          <w:tcPr>
            <w:tcW w:w="10238" w:type="dxa"/>
            <w:gridSpan w:val="11"/>
            <w:vAlign w:val="center"/>
          </w:tcPr>
          <w:p>
            <w:pPr>
              <w:autoSpaceDN w:val="0"/>
              <w:jc w:val="center"/>
              <w:textAlignment w:val="center"/>
              <w:rPr>
                <w:rFonts w:hint="default" w:ascii="宋体" w:hAnsi="宋体" w:eastAsia="宋体"/>
                <w:b/>
                <w:i w:val="0"/>
                <w:color w:val="000000"/>
                <w:sz w:val="24"/>
                <w:u w:val="none"/>
                <w:lang w:eastAsia="zh-CN"/>
              </w:rPr>
            </w:pPr>
            <w:r>
              <w:rPr>
                <w:rFonts w:hint="default" w:ascii="宋体" w:hAnsi="宋体" w:eastAsia="宋体"/>
                <w:b/>
                <w:i w:val="0"/>
                <w:color w:val="000000"/>
                <w:sz w:val="24"/>
                <w:u w:val="none"/>
                <w:lang w:eastAsia="zh-CN"/>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20" w:hRule="atLeast"/>
        </w:trPr>
        <w:tc>
          <w:tcPr>
            <w:tcW w:w="10238" w:type="dxa"/>
            <w:gridSpan w:val="11"/>
            <w:vAlign w:val="center"/>
          </w:tcPr>
          <w:p>
            <w:pPr>
              <w:autoSpaceDN w:val="0"/>
              <w:jc w:val="center"/>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50" w:hRule="atLeast"/>
        </w:trPr>
        <w:tc>
          <w:tcPr>
            <w:tcW w:w="1425"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项目支出名称</w:t>
            </w:r>
          </w:p>
        </w:tc>
        <w:tc>
          <w:tcPr>
            <w:tcW w:w="8813" w:type="dxa"/>
            <w:gridSpan w:val="10"/>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教育事业发展经费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top w:val="single" w:color="000000" w:sz="8" w:space="0"/>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813" w:type="dxa"/>
            <w:gridSpan w:val="10"/>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68" w:hRule="atLeast"/>
        </w:trPr>
        <w:tc>
          <w:tcPr>
            <w:tcW w:w="1425"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主管部门</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江永县教育局</w:t>
            </w:r>
          </w:p>
        </w:tc>
        <w:tc>
          <w:tcPr>
            <w:tcW w:w="1344" w:type="dxa"/>
            <w:gridSpan w:val="2"/>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实施单位</w:t>
            </w:r>
          </w:p>
        </w:tc>
        <w:tc>
          <w:tcPr>
            <w:tcW w:w="3521" w:type="dxa"/>
            <w:gridSpan w:val="4"/>
            <w:tcBorders>
              <w:top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项目资金(万元)</w:t>
            </w:r>
          </w:p>
        </w:tc>
        <w:tc>
          <w:tcPr>
            <w:tcW w:w="143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 xml:space="preserve">     资金来源</w:t>
            </w:r>
          </w:p>
        </w:tc>
        <w:tc>
          <w:tcPr>
            <w:tcW w:w="1328"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年初预算数</w:t>
            </w:r>
          </w:p>
        </w:tc>
        <w:tc>
          <w:tcPr>
            <w:tcW w:w="118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全年预算数</w:t>
            </w:r>
          </w:p>
        </w:tc>
        <w:tc>
          <w:tcPr>
            <w:tcW w:w="1344" w:type="dxa"/>
            <w:gridSpan w:val="2"/>
            <w:vMerge w:val="restart"/>
            <w:tcBorders>
              <w:top w:val="single" w:color="000000" w:sz="8" w:space="0"/>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全年执行数</w:t>
            </w:r>
          </w:p>
        </w:tc>
        <w:tc>
          <w:tcPr>
            <w:tcW w:w="896" w:type="dxa"/>
            <w:gridSpan w:val="2"/>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23"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执行率</w:t>
            </w:r>
          </w:p>
        </w:tc>
        <w:tc>
          <w:tcPr>
            <w:tcW w:w="1302"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4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其中:当年财政拨款</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上年结转金额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其它资金</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年度资金总额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08"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年度总体目标</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预期目标</w:t>
            </w:r>
          </w:p>
        </w:tc>
        <w:tc>
          <w:tcPr>
            <w:tcW w:w="4865" w:type="dxa"/>
            <w:gridSpan w:val="6"/>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3948" w:type="dxa"/>
            <w:gridSpan w:val="4"/>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4865" w:type="dxa"/>
            <w:gridSpan w:val="6"/>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887"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2"/>
                <w:u w:val="none"/>
                <w:lang w:eastAsia="zh-CN"/>
              </w:rPr>
            </w:pPr>
            <w:r>
              <w:rPr>
                <w:rFonts w:hint="default" w:ascii="微软雅黑" w:hAnsi="微软雅黑" w:eastAsia="微软雅黑"/>
                <w:b w:val="0"/>
                <w:i w:val="0"/>
                <w:color w:val="000000"/>
                <w:sz w:val="22"/>
                <w:u w:val="none"/>
                <w:lang w:eastAsia="zh-CN"/>
              </w:rPr>
              <w:t>绩效指标</w:t>
            </w: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一级指标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二级指标</w:t>
            </w:r>
          </w:p>
        </w:tc>
        <w:tc>
          <w:tcPr>
            <w:tcW w:w="1328"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三级指标</w:t>
            </w:r>
          </w:p>
        </w:tc>
        <w:tc>
          <w:tcPr>
            <w:tcW w:w="1184" w:type="dxa"/>
            <w:vMerge w:val="restart"/>
            <w:tcBorders>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年度指标值</w:t>
            </w:r>
          </w:p>
        </w:tc>
        <w:tc>
          <w:tcPr>
            <w:tcW w:w="131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实际完成值</w:t>
            </w:r>
          </w:p>
        </w:tc>
        <w:tc>
          <w:tcPr>
            <w:tcW w:w="89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53"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c>
          <w:tcPr>
            <w:tcW w:w="1302"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5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54" w:hRule="atLeast"/>
        </w:trPr>
        <w:tc>
          <w:tcPr>
            <w:tcW w:w="1425" w:type="dxa"/>
            <w:tcBorders>
              <w:left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restart"/>
            <w:tcBorders>
              <w:left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产出指标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数量指标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遗属人员</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质量指标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教师慰问金发放完成率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6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100&amp;</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时效指标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完成时间</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5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效益指标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4.00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632"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可持续影响指标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可持续性影响</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满意度指标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服务对象满意度指标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教师群体满意度</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成本指标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资金使用合规</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生态环境成本指标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63" w:hRule="atLeast"/>
        </w:trPr>
        <w:tc>
          <w:tcPr>
            <w:tcW w:w="6687" w:type="dxa"/>
            <w:gridSpan w:val="6"/>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总分</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99.00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bl>
    <w:p>
      <w:pPr>
        <w:widowControl/>
        <w:spacing w:line="560" w:lineRule="exact"/>
        <w:jc w:val="center"/>
        <w:rPr>
          <w:rFonts w:eastAsia="方正小标宋_GBK"/>
          <w:color w:val="000000"/>
          <w:kern w:val="0"/>
          <w:sz w:val="44"/>
          <w:szCs w:val="44"/>
        </w:rPr>
      </w:pPr>
    </w:p>
    <w:p>
      <w:pPr>
        <w:rPr>
          <w:rFonts w:hint="eastAsia"/>
          <w:lang w:val="en-US" w:eastAsia="zh-CN"/>
        </w:rPr>
      </w:pPr>
      <w:r>
        <w:rPr>
          <w:rFonts w:hint="eastAsia"/>
          <w:lang w:val="en-US" w:eastAsia="zh-CN"/>
        </w:rPr>
        <w:t xml:space="preserve">             </w:t>
      </w:r>
    </w:p>
    <w:p>
      <w:pPr>
        <w:rPr>
          <w:rFonts w:hint="eastAsia"/>
          <w:lang w:val="en-US" w:eastAsia="zh-CN"/>
        </w:rPr>
      </w:pPr>
    </w:p>
    <w:p>
      <w:pPr>
        <w:rPr>
          <w:rFonts w:hint="default"/>
          <w:lang w:val="en-US" w:eastAsia="zh-CN"/>
        </w:rPr>
      </w:pPr>
      <w:r>
        <w:rPr>
          <w:rFonts w:hint="eastAsia" w:ascii="宋体" w:hAnsi="宋体"/>
          <w:sz w:val="28"/>
          <w:szCs w:val="28"/>
          <w:lang w:val="en-US" w:eastAsia="zh-CN"/>
        </w:rPr>
        <w:t xml:space="preserve">        </w:t>
      </w:r>
    </w:p>
    <w:p>
      <w:pPr>
        <w:rPr>
          <w:rFonts w:hint="default"/>
          <w:lang w:val="en-US" w:eastAsia="zh-CN"/>
        </w:rPr>
      </w:pPr>
    </w:p>
    <w:p>
      <w:pPr>
        <w:widowControl/>
        <w:spacing w:line="560" w:lineRule="exact"/>
        <w:ind w:firstLine="1320" w:firstLineChars="300"/>
        <w:jc w:val="both"/>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第一小学</w:t>
      </w:r>
      <w:r>
        <w:rPr>
          <w:rFonts w:ascii="黑体" w:hAnsi="黑体" w:eastAsia="黑体"/>
          <w:kern w:val="0"/>
          <w:sz w:val="44"/>
          <w:szCs w:val="44"/>
        </w:rPr>
        <w:t>专项（项目）</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710"/>
        <w:gridCol w:w="1275"/>
        <w:gridCol w:w="3080"/>
        <w:gridCol w:w="4502"/>
        <w:gridCol w:w="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vAlign w:val="center"/>
          </w:tcPr>
          <w:p>
            <w:pPr>
              <w:widowControl/>
              <w:jc w:val="left"/>
              <w:rPr>
                <w:rFonts w:eastAsia="仿宋_GB2312"/>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single" w:color="auto" w:sz="4" w:space="0"/>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single" w:color="auto" w:sz="4" w:space="0"/>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single" w:color="auto"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single" w:color="auto" w:sz="4" w:space="0"/>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9A6F6"/>
    <w:multiLevelType w:val="singleLevel"/>
    <w:tmpl w:val="6639A6F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3fc5ff69-aefe-4e35-80fb-70e59f51d272"/>
  </w:docVars>
  <w:rsids>
    <w:rsidRoot w:val="00000000"/>
    <w:rsid w:val="282C07DC"/>
    <w:rsid w:val="596A347D"/>
    <w:rsid w:val="5B3D42F7"/>
    <w:rsid w:val="77D606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rPr>
      <w:rFonts w:ascii="Calibri" w:hAnsi="Calibri" w:eastAsia="宋体" w:cs="Times New Roman"/>
      <w:szCs w:val="22"/>
    </w:rPr>
  </w:style>
  <w:style w:type="character" w:customStyle="1" w:styleId="8">
    <w:name w:val="页眉 Char Char"/>
    <w:basedOn w:val="6"/>
    <w:link w:val="4"/>
    <w:uiPriority w:val="99"/>
    <w:rPr>
      <w:rFonts w:ascii="Calibri" w:hAnsi="Calibri" w:eastAsia="宋体" w:cs="黑体"/>
      <w:kern w:val="2"/>
      <w:sz w:val="18"/>
      <w:szCs w:val="18"/>
    </w:rPr>
  </w:style>
  <w:style w:type="character" w:customStyle="1" w:styleId="9">
    <w:name w:val="页脚 Char Char"/>
    <w:basedOn w:val="6"/>
    <w:link w:val="3"/>
    <w:uiPriority w:val="99"/>
    <w:rPr>
      <w:rFonts w:ascii="Calibri" w:hAnsi="Calibri" w:eastAsia="宋体" w:cs="黑体"/>
      <w:kern w:val="2"/>
      <w:sz w:val="18"/>
      <w:szCs w:val="18"/>
    </w:rPr>
  </w:style>
  <w:style w:type="character" w:customStyle="1" w:styleId="10">
    <w:name w:val="font21"/>
    <w:basedOn w:val="6"/>
    <w:qFormat/>
    <w:uiPriority w:val="0"/>
    <w:rPr>
      <w:rFonts w:hint="eastAsia" w:ascii="宋体" w:hAnsi="宋体" w:eastAsia="宋体" w:cs="宋体"/>
      <w:color w:val="000000"/>
      <w:sz w:val="22"/>
      <w:szCs w:val="22"/>
      <w:u w:val="none"/>
    </w:rPr>
  </w:style>
  <w:style w:type="character" w:customStyle="1" w:styleId="11">
    <w:name w:val="font41"/>
    <w:basedOn w:val="6"/>
    <w:qFormat/>
    <w:uiPriority w:val="0"/>
    <w:rPr>
      <w:rFonts w:ascii="Calibri" w:hAnsi="Calibri" w:cs="Calibri"/>
      <w:color w:val="000000"/>
      <w:sz w:val="21"/>
      <w:szCs w:val="21"/>
      <w:u w:val="none"/>
    </w:rPr>
  </w:style>
  <w:style w:type="character" w:customStyle="1" w:styleId="12">
    <w:name w:val="font8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7699</Words>
  <Characters>8329</Characters>
  <Lines>38</Lines>
  <Paragraphs>10</Paragraphs>
  <TotalTime>82</TotalTime>
  <ScaleCrop>false</ScaleCrop>
  <LinksUpToDate>false</LinksUpToDate>
  <CharactersWithSpaces>8913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2024-05-07T03:30:00Z</cp:lastPrinted>
  <dcterms:modified xsi:type="dcterms:W3CDTF">2025-06-23T09:23:15Z</dcterms:modified>
  <dc:title>2023年度江永县第一小学整体支出绩效自评报告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6FC036E7A0FC4AECAADCA44A04BAF832_13</vt:lpwstr>
  </property>
</Properties>
</file>